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Workplace giving popup form</w:t>
      </w:r>
    </w:p>
    <w:p>
      <w:r>
        <w:t xml:space="preserve">Ready to get started? </w:t>
      </w:r>
    </w:p>
    <w:p>
      <w:pPr>
        <w:spacing w:before="240" w:after="240"/>
      </w:pPr>
      <w:r>
        <w:t>If you’d like to chat to us about including FARE in your workplace giving program, fill in the form below and we’ll be in touch.</w:t>
      </w:r>
    </w:p>
    <w:p>
      <w:pPr>
        <w:spacing w:before="240" w:after="240"/>
      </w:pPr>
      <w:r>
        <w:t xml:space="preserve">You can also read </w:t>
      </w:r>
      <w:hyperlink r:id="rId4" w:tgtFrame="_blank" w:history="1">
        <w:r>
          <w:rPr>
            <w:color w:val="FFFFFF"/>
            <w:u w:val="single" w:color="FFFFFF"/>
          </w:rPr>
          <w:t>this helpful guide</w:t>
        </w:r>
      </w:hyperlink>
      <w:r>
        <w:t xml:space="preserve"> from Workplace Giving Australia, which steps through the process you need to take to enable workplace giving through your internal payroll system. 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orkplacegivingaustralia.org.au/app/uploads/2020/02/WGA-1MD-DIY-Guide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giving popup form</dc:title>
  <cp:revision>0</cp:revision>
</cp:coreProperties>
</file>