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Anytime, Anyplace, Anywhere? Addressing physical availability of alcohol in Australia and the UK</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Jon Foster, Institute of Alcohol Studies.</w:t>
      </w:r>
    </w:p>
    <w:p>
      <w:pPr>
        <w:numPr>
          <w:ilvl w:val="0"/>
          <w:numId w:val="1"/>
        </w:numPr>
        <w:ind w:left="720" w:hanging="280"/>
        <w:jc w:val="both"/>
      </w:pPr>
      <w:r>
        <w:t>Anthony Harrison, Foundation for Alcohol Research and Education.</w:t>
      </w:r>
    </w:p>
    <w:p>
      <w:pPr>
        <w:numPr>
          <w:ilvl w:val="0"/>
          <w:numId w:val="1"/>
        </w:numPr>
        <w:ind w:left="720" w:hanging="280"/>
        <w:jc w:val="both"/>
      </w:pPr>
      <w:r>
        <w:t>Katherine Brown, Institute of Alcohol Studies.</w:t>
      </w:r>
    </w:p>
    <w:p>
      <w:pPr>
        <w:numPr>
          <w:ilvl w:val="0"/>
          <w:numId w:val="1"/>
        </w:numPr>
        <w:ind w:left="720" w:hanging="280"/>
        <w:jc w:val="both"/>
      </w:pPr>
      <w:r>
        <w:t>Elizabeth Manton, Centre for Alcohol Policy Research at La Trobe University.</w:t>
      </w:r>
    </w:p>
    <w:p>
      <w:pPr>
        <w:numPr>
          <w:ilvl w:val="0"/>
          <w:numId w:val="1"/>
        </w:numPr>
        <w:ind w:left="720" w:hanging="280"/>
        <w:jc w:val="both"/>
      </w:pPr>
      <w:r>
        <w:t>Claire Wilkinson, Centre for Alcohol Policy Research at La Trobe University.</w:t>
      </w:r>
    </w:p>
    <w:p>
      <w:pPr>
        <w:numPr>
          <w:ilvl w:val="0"/>
          <w:numId w:val="1"/>
        </w:numPr>
        <w:spacing w:after="240"/>
        <w:ind w:left="720" w:hanging="280"/>
        <w:jc w:val="both"/>
      </w:pPr>
      <w:r>
        <w:t>Amy Ferguson, 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report compares and assesses the policies that regulate the physical availability of alcohol in Australia and the United Kingdom. Produced by the Foundation for Alcohol Research and Education (FARE) and the London-based Institute of Alcohol Studies (IAS) the report assesses the relative merits of different availability policies applied in the two countries. The report also highlights the strengths of alcohol policy measures across the two countries, but most importantly, highlights the wealth of effective and proven policy measures available to governments to stop alcohol harm.</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VAILABILITY-REPORT-30-May-2017-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Anytime, Anyplace, Anywhere? Addressing physical availability of alcohol in Australia and the UK</dc:title>
  <cp:revision>0</cp:revision>
</cp:coreProperties>
</file>