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2020_WEEKLY_EDM</w:t>
      </w:r>
    </w:p>
    <w:p>
      <w:pPr>
        <w:pStyle w:val="Heading4"/>
        <w:keepNext w:val="0"/>
        <w:keepLines w:val="0"/>
        <w:spacing w:before="319" w:after="319"/>
        <w:ind w:left="600" w:right="600"/>
        <w:rPr>
          <w:b/>
          <w:bCs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iCs w:val="0"/>
            <w:color w:val="0000EE"/>
            <w:u w:val="single" w:color="0000EE"/>
          </w:rPr>
          <w:t>FARE newsletter 19 November 2021</w:t>
        </w:r>
      </w:hyperlink>
    </w:p>
    <w:p>
      <w:pPr>
        <w:spacing w:before="240" w:after="240"/>
        <w:ind w:left="600" w:right="600"/>
      </w:pPr>
      <w:r>
        <w:t>RaiseTheAge in QLD, Congratulations to advocates on alcohol harm reduction, New national campaign on pregnancy &amp; alcohol, plus more...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ailchi.mp/fare/1911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2020_WEEKLY_EDM</dc:title>
  <cp:revision>0</cp:revision>
</cp:coreProperties>
</file>