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2020_POLICY_SIDEBAR</w:t>
      </w:r>
    </w:p>
    <w:p>
      <w:pPr>
        <w:spacing w:before="240" w:after="240"/>
      </w:pPr>
      <w:r>
        <w:t>FARE supports policy reforms that contribute to a reduction in alcohol-related harms in Australia. Our policy work is informed by the evidence of what is most effective in reducing alcohol-related harms. We support the progression of population-based health measures, which take into consideration the far reaching and complex impacts of alcohol-related harms.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mailing list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policy submissions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2020_POLICY_SIDEBAR</dc:title>
  <cp:revision>0</cp:revision>
</cp:coreProperties>
</file>