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2013-14 Pre-budget submission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2012-11-25 11:48:17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Policy submissions </w:t>
            </w:r>
          </w:p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FARE acknowledges that the Commonwealth Government is committed to reaching a surplus in the 2013-14 Budget, so this submission therefore outlines areas of cost savings for Government, as well as areas where modest investment will make a significant difference to communities and individuals. The case for introducing evidence-based alcohol prevention policies has never been more compelling.</w:t>
      </w:r>
    </w:p>
    <w:p>
      <w:pPr>
        <w:spacing w:before="240" w:after="240"/>
      </w:pPr>
      <w:r>
        <w:t>FARE acknowledges that the Commonwealth Government is committed to reaching a surplus in the 2013-14 Budget, so this submission therefore outlines areas of cost savings for Government, as well as areas where modest investment will make a significant difference to communities and individuals. The case for introducing evidence-based alcohol prevention policies has never been more compelling.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Recommendations</w:t>
      </w:r>
    </w:p>
    <w:p>
      <w:pPr>
        <w:spacing w:before="240" w:after="240"/>
      </w:pPr>
      <w:r>
        <w:rPr>
          <w:b/>
          <w:bCs/>
        </w:rPr>
        <w:t xml:space="preserve">Budget savings: </w:t>
      </w:r>
    </w:p>
    <w:p>
      <w:pPr>
        <w:numPr>
          <w:ilvl w:val="0"/>
          <w:numId w:val="1"/>
        </w:numPr>
        <w:spacing w:before="240"/>
        <w:ind w:left="720" w:hanging="280"/>
        <w:jc w:val="both"/>
      </w:pPr>
      <w:r>
        <w:t>Replace the Wine Equalisation Tax (WET) with a volumetric tax rate at $29.05 per litre of pure alcohol</w:t>
      </w:r>
      <w:r>
        <w:br/>
      </w:r>
      <w:r>
        <w:t>Projected savings: $849 million over one year</w:t>
      </w:r>
    </w:p>
    <w:p>
      <w:pPr>
        <w:numPr>
          <w:ilvl w:val="0"/>
          <w:numId w:val="1"/>
        </w:numPr>
        <w:spacing w:after="240"/>
        <w:ind w:left="720" w:hanging="280"/>
        <w:jc w:val="both"/>
      </w:pPr>
      <w:r>
        <w:t>Abolish the Wine Equalisation Tax (WET) Rebate</w:t>
      </w:r>
      <w:r>
        <w:br/>
      </w:r>
      <w:r>
        <w:t>Projected savings: over $200 million over one year</w:t>
      </w:r>
    </w:p>
    <w:p>
      <w:pPr>
        <w:spacing w:before="240" w:after="240"/>
      </w:pPr>
      <w:r>
        <w:rPr>
          <w:b/>
          <w:bCs/>
        </w:rPr>
        <w:t xml:space="preserve">Budget expenditure: </w:t>
      </w:r>
    </w:p>
    <w:p>
      <w:pPr>
        <w:numPr>
          <w:ilvl w:val="0"/>
          <w:numId w:val="2"/>
        </w:numPr>
        <w:spacing w:before="240"/>
        <w:ind w:left="720" w:hanging="280"/>
        <w:jc w:val="both"/>
      </w:pPr>
      <w:r>
        <w:t>Publish, implement and evaluate the Australian Fetal Alcohol Spectrum Disorders (FASD) diagnostic instrument and implement training for health professionals on its use</w:t>
      </w:r>
      <w:r>
        <w:br/>
      </w:r>
      <w:r>
        <w:t>Projected cost: $2.1 million over three years</w:t>
      </w:r>
    </w:p>
    <w:p>
      <w:pPr>
        <w:numPr>
          <w:ilvl w:val="0"/>
          <w:numId w:val="2"/>
        </w:numPr>
        <w:ind w:left="720" w:hanging="280"/>
        <w:jc w:val="both"/>
      </w:pPr>
      <w:r>
        <w:t>Establish Fetal Alcohol Spectrum Disorders (FASD) diagnostic services</w:t>
      </w:r>
      <w:r>
        <w:br/>
      </w:r>
      <w:r>
        <w:t>Projected cost: $7.3 million over three years</w:t>
      </w:r>
    </w:p>
    <w:p>
      <w:pPr>
        <w:numPr>
          <w:ilvl w:val="0"/>
          <w:numId w:val="2"/>
        </w:numPr>
        <w:ind w:left="720" w:hanging="280"/>
        <w:jc w:val="both"/>
      </w:pPr>
      <w:r>
        <w:t>Develop Fetal Alcohol Spectrum Disorders (FASD) models of care</w:t>
      </w:r>
      <w:r>
        <w:br/>
      </w:r>
      <w:r>
        <w:t>Projected cost: $517,000 over three years</w:t>
      </w:r>
    </w:p>
    <w:p>
      <w:pPr>
        <w:numPr>
          <w:ilvl w:val="0"/>
          <w:numId w:val="2"/>
        </w:numPr>
        <w:spacing w:after="240"/>
        <w:ind w:left="720" w:hanging="280"/>
        <w:jc w:val="both"/>
      </w:pPr>
      <w:r>
        <w:t>Fund an Australian burden of disease study</w:t>
      </w:r>
      <w:r>
        <w:br/>
      </w:r>
      <w:r>
        <w:t>Projected cost: $3 million over three years</w:t>
      </w:r>
    </w:p>
    <w:p>
      <w:hyperlink r:id="rId4" w:tgtFrame="_blank" w:history="1">
        <w:r>
          <w:rPr>
            <w:color w:val="0000EE"/>
            <w:u w:val="single" w:color="0000EE"/>
          </w:rPr>
          <w:t>view the submission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are.org.au/wp-content/uploads/FAREs-2013-14-Pre-Budget-Submission.pd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2013-14 Pre-budget submission</dc:title>
  <cp:revision>0</cp:revision>
</cp:coreProperties>
</file>